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1886" w14:textId="77777777" w:rsidR="00C62D58" w:rsidRPr="008F0CE6" w:rsidRDefault="00C62D58" w:rsidP="00C62D58">
      <w:pPr>
        <w:rPr>
          <w:rFonts w:cs="Calibri"/>
          <w:sz w:val="20"/>
          <w:szCs w:val="20"/>
        </w:rPr>
      </w:pPr>
      <w:r w:rsidRPr="008F0CE6">
        <w:rPr>
          <w:rFonts w:cs="Calibri"/>
          <w:b/>
          <w:bCs/>
          <w:sz w:val="20"/>
          <w:szCs w:val="20"/>
        </w:rPr>
        <w:t>Subject:</w:t>
      </w:r>
      <w:r w:rsidRPr="008F0CE6">
        <w:rPr>
          <w:rFonts w:cs="Calibri"/>
          <w:sz w:val="20"/>
          <w:szCs w:val="20"/>
        </w:rPr>
        <w:t xml:space="preserve"> Request to Attend AICPA® Forensic &amp; Valuation Services Conference</w:t>
      </w:r>
    </w:p>
    <w:p w14:paraId="316E9477" w14:textId="77777777" w:rsidR="00C62D58" w:rsidRPr="008F0CE6" w:rsidRDefault="00C62D58" w:rsidP="00C62D58">
      <w:pPr>
        <w:rPr>
          <w:rFonts w:cs="Calibri"/>
          <w:sz w:val="20"/>
          <w:szCs w:val="20"/>
        </w:rPr>
      </w:pPr>
      <w:r w:rsidRPr="008F0CE6">
        <w:rPr>
          <w:rFonts w:cs="Calibri"/>
          <w:sz w:val="20"/>
          <w:szCs w:val="20"/>
        </w:rPr>
        <w:t>Hi [Manager Name],</w:t>
      </w:r>
    </w:p>
    <w:p w14:paraId="7A4258A7" w14:textId="4A93518E" w:rsidR="00C62D58" w:rsidRPr="008F0CE6" w:rsidRDefault="00C62D58" w:rsidP="00C62D58">
      <w:pPr>
        <w:rPr>
          <w:rFonts w:cs="Calibri"/>
          <w:sz w:val="20"/>
          <w:szCs w:val="20"/>
        </w:rPr>
      </w:pPr>
      <w:r w:rsidRPr="008F0CE6">
        <w:rPr>
          <w:rFonts w:cs="Calibri"/>
          <w:sz w:val="20"/>
          <w:szCs w:val="20"/>
        </w:rPr>
        <w:t xml:space="preserve">I’d like to request approval to attend the </w:t>
      </w:r>
      <w:r w:rsidRPr="002C2297">
        <w:rPr>
          <w:rFonts w:cs="Calibri"/>
          <w:sz w:val="20"/>
          <w:szCs w:val="20"/>
        </w:rPr>
        <w:t>AICPA</w:t>
      </w:r>
      <w:r w:rsidR="00FB7573" w:rsidRPr="002C2297">
        <w:rPr>
          <w:rFonts w:cs="Calibri"/>
          <w:sz w:val="20"/>
          <w:szCs w:val="20"/>
        </w:rPr>
        <w:t>®</w:t>
      </w:r>
      <w:r w:rsidRPr="002C2297">
        <w:rPr>
          <w:rFonts w:cs="Calibri"/>
          <w:sz w:val="20"/>
          <w:szCs w:val="20"/>
        </w:rPr>
        <w:t xml:space="preserve"> </w:t>
      </w:r>
      <w:commentRangeStart w:id="0"/>
      <w:r>
        <w:fldChar w:fldCharType="begin"/>
      </w:r>
      <w:r>
        <w:instrText>HYPERLINK "https://www.aicpa-cima.com/cpe-learning/conference/aicpa-forensic-valuation-services-conference"</w:instrText>
      </w:r>
      <w:r>
        <w:fldChar w:fldCharType="separate"/>
      </w:r>
      <w:r w:rsidRPr="000249DC">
        <w:rPr>
          <w:rStyle w:val="Hyperlink"/>
          <w:rFonts w:cs="Calibri"/>
          <w:sz w:val="20"/>
          <w:szCs w:val="20"/>
        </w:rPr>
        <w:t xml:space="preserve">Forensic &amp; Valuation Services </w:t>
      </w:r>
      <w:r w:rsidR="003E6380" w:rsidRPr="000249DC">
        <w:rPr>
          <w:rStyle w:val="Hyperlink"/>
          <w:rFonts w:cs="Calibri"/>
          <w:sz w:val="20"/>
          <w:szCs w:val="20"/>
        </w:rPr>
        <w:t xml:space="preserve">(FVS) </w:t>
      </w:r>
      <w:r w:rsidRPr="000249DC">
        <w:rPr>
          <w:rStyle w:val="Hyperlink"/>
          <w:rFonts w:cs="Calibri"/>
          <w:sz w:val="20"/>
          <w:szCs w:val="20"/>
        </w:rPr>
        <w:t>Conference</w:t>
      </w:r>
      <w:r>
        <w:fldChar w:fldCharType="end"/>
      </w:r>
      <w:commentRangeEnd w:id="0"/>
      <w:r w:rsidR="00DA5F61" w:rsidRPr="002C2297">
        <w:rPr>
          <w:rStyle w:val="CommentReference"/>
          <w:rFonts w:cs="Calibri"/>
          <w:sz w:val="20"/>
          <w:szCs w:val="20"/>
        </w:rPr>
        <w:commentReference w:id="0"/>
      </w:r>
      <w:r w:rsidR="00FB7573" w:rsidRPr="002C2297">
        <w:rPr>
          <w:rFonts w:cs="Calibri"/>
          <w:sz w:val="20"/>
          <w:szCs w:val="20"/>
        </w:rPr>
        <w:t xml:space="preserve">, </w:t>
      </w:r>
      <w:r w:rsidR="00470221">
        <w:rPr>
          <w:rFonts w:cs="Calibri"/>
          <w:sz w:val="20"/>
          <w:szCs w:val="20"/>
        </w:rPr>
        <w:t>November</w:t>
      </w:r>
      <w:r w:rsidR="00470221" w:rsidRPr="002C2297">
        <w:rPr>
          <w:rFonts w:cs="Calibri"/>
          <w:sz w:val="20"/>
          <w:szCs w:val="20"/>
        </w:rPr>
        <w:t xml:space="preserve"> </w:t>
      </w:r>
      <w:r w:rsidR="00FB7573" w:rsidRPr="002C2297">
        <w:rPr>
          <w:rFonts w:cs="Calibri"/>
          <w:sz w:val="20"/>
          <w:szCs w:val="20"/>
        </w:rPr>
        <w:t>4-6</w:t>
      </w:r>
      <w:r w:rsidR="00513EA9" w:rsidRPr="002C2297">
        <w:rPr>
          <w:rFonts w:cs="Calibri"/>
          <w:sz w:val="20"/>
          <w:szCs w:val="20"/>
        </w:rPr>
        <w:t xml:space="preserve">, 2026 in National Harbor, MD. </w:t>
      </w:r>
      <w:r w:rsidRPr="002C2297">
        <w:rPr>
          <w:rFonts w:cs="Calibri"/>
          <w:sz w:val="20"/>
          <w:szCs w:val="20"/>
        </w:rPr>
        <w:t>This is a highly targeted opportunity for me, as an emerging</w:t>
      </w:r>
      <w:r w:rsidRPr="008F0CE6">
        <w:rPr>
          <w:rFonts w:cs="Calibri"/>
          <w:sz w:val="20"/>
          <w:szCs w:val="20"/>
        </w:rPr>
        <w:t xml:space="preserve"> </w:t>
      </w:r>
      <w:r w:rsidR="00F41EE2" w:rsidRPr="00924EFF">
        <w:rPr>
          <w:rFonts w:cs="Calibri"/>
          <w:color w:val="EE0000"/>
          <w:sz w:val="20"/>
          <w:szCs w:val="20"/>
        </w:rPr>
        <w:t>[forensic or valuation]</w:t>
      </w:r>
      <w:r w:rsidR="00F41EE2">
        <w:rPr>
          <w:rFonts w:cs="Calibri"/>
          <w:sz w:val="20"/>
          <w:szCs w:val="20"/>
        </w:rPr>
        <w:t xml:space="preserve"> </w:t>
      </w:r>
      <w:r w:rsidRPr="008F0CE6">
        <w:rPr>
          <w:rFonts w:cs="Calibri"/>
          <w:sz w:val="20"/>
          <w:szCs w:val="20"/>
        </w:rPr>
        <w:t>professional, to build practical, in-demand skills that directly align with our team’s work and priorities</w:t>
      </w:r>
      <w:r w:rsidR="003F41BF" w:rsidRPr="008F0CE6">
        <w:rPr>
          <w:rFonts w:cs="Calibri"/>
          <w:sz w:val="20"/>
          <w:szCs w:val="20"/>
        </w:rPr>
        <w:t xml:space="preserve"> as well as the community we serve</w:t>
      </w:r>
      <w:r w:rsidRPr="008F0CE6">
        <w:rPr>
          <w:rFonts w:cs="Calibri"/>
          <w:sz w:val="20"/>
          <w:szCs w:val="20"/>
        </w:rPr>
        <w:t>.</w:t>
      </w:r>
    </w:p>
    <w:p w14:paraId="1B8DFC1E" w14:textId="46F2C334" w:rsidR="00B4574F" w:rsidRPr="00B4574F" w:rsidRDefault="00C62D58" w:rsidP="004C41CD">
      <w:pPr>
        <w:rPr>
          <w:rFonts w:cs="Calibri"/>
          <w:sz w:val="20"/>
          <w:szCs w:val="20"/>
        </w:rPr>
      </w:pPr>
      <w:r w:rsidRPr="26760081">
        <w:rPr>
          <w:rFonts w:cs="Calibri"/>
          <w:b/>
          <w:bCs/>
          <w:sz w:val="20"/>
          <w:szCs w:val="20"/>
        </w:rPr>
        <w:t xml:space="preserve">Why </w:t>
      </w:r>
      <w:r w:rsidR="003E6380" w:rsidRPr="26760081">
        <w:rPr>
          <w:rFonts w:cs="Calibri"/>
          <w:b/>
          <w:bCs/>
          <w:sz w:val="20"/>
          <w:szCs w:val="20"/>
        </w:rPr>
        <w:t>attending the FVS Conference matters</w:t>
      </w:r>
      <w:r>
        <w:br/>
      </w:r>
      <w:r w:rsidRPr="26760081">
        <w:rPr>
          <w:rFonts w:cs="Calibri"/>
          <w:sz w:val="20"/>
          <w:szCs w:val="20"/>
        </w:rPr>
        <w:t>Th</w:t>
      </w:r>
      <w:r w:rsidR="003F41BF" w:rsidRPr="26760081">
        <w:rPr>
          <w:rFonts w:cs="Calibri"/>
          <w:sz w:val="20"/>
          <w:szCs w:val="20"/>
        </w:rPr>
        <w:t xml:space="preserve">is conference </w:t>
      </w:r>
      <w:r w:rsidRPr="26760081">
        <w:rPr>
          <w:rFonts w:cs="Calibri"/>
          <w:sz w:val="20"/>
          <w:szCs w:val="20"/>
        </w:rPr>
        <w:t xml:space="preserve">is focused on real-world application—bringing together leading </w:t>
      </w:r>
      <w:r w:rsidR="1BEEDCFC" w:rsidRPr="26760081">
        <w:rPr>
          <w:rFonts w:cs="Calibri"/>
          <w:sz w:val="20"/>
          <w:szCs w:val="20"/>
        </w:rPr>
        <w:t xml:space="preserve">Forensic and </w:t>
      </w:r>
      <w:r w:rsidR="1BEEDCFC" w:rsidRPr="2A99477A">
        <w:rPr>
          <w:rFonts w:cs="Calibri"/>
          <w:sz w:val="20"/>
          <w:szCs w:val="20"/>
        </w:rPr>
        <w:t>Valuation Services (</w:t>
      </w:r>
      <w:r w:rsidR="002C2297" w:rsidRPr="2A99477A">
        <w:rPr>
          <w:rFonts w:cs="Calibri"/>
          <w:sz w:val="20"/>
          <w:szCs w:val="20"/>
        </w:rPr>
        <w:t>FVS</w:t>
      </w:r>
      <w:r w:rsidR="7F1C9653" w:rsidRPr="2A99477A">
        <w:rPr>
          <w:rFonts w:cs="Calibri"/>
          <w:sz w:val="20"/>
          <w:szCs w:val="20"/>
        </w:rPr>
        <w:t>)</w:t>
      </w:r>
      <w:r w:rsidR="002C2297" w:rsidRPr="26760081">
        <w:rPr>
          <w:rFonts w:cs="Calibri"/>
          <w:sz w:val="20"/>
          <w:szCs w:val="20"/>
        </w:rPr>
        <w:t xml:space="preserve"> </w:t>
      </w:r>
      <w:r w:rsidRPr="26760081">
        <w:rPr>
          <w:rFonts w:cs="Calibri"/>
          <w:sz w:val="20"/>
          <w:szCs w:val="20"/>
        </w:rPr>
        <w:t>practitioners to share how they approach complex forensic</w:t>
      </w:r>
      <w:r w:rsidR="00A40A99" w:rsidRPr="26760081">
        <w:rPr>
          <w:rFonts w:cs="Calibri"/>
          <w:sz w:val="20"/>
          <w:szCs w:val="20"/>
        </w:rPr>
        <w:t xml:space="preserve"> </w:t>
      </w:r>
      <w:r w:rsidRPr="26760081">
        <w:rPr>
          <w:rFonts w:cs="Calibri"/>
          <w:sz w:val="20"/>
          <w:szCs w:val="20"/>
        </w:rPr>
        <w:t>and valuation challenges. The focus on practitioner-led sessions ensures insights I can apply immediately in our engagements.</w:t>
      </w:r>
      <w:r w:rsidR="0045478C" w:rsidRPr="26760081">
        <w:rPr>
          <w:rFonts w:cs="Calibri"/>
          <w:sz w:val="20"/>
          <w:szCs w:val="20"/>
        </w:rPr>
        <w:t xml:space="preserve"> </w:t>
      </w:r>
      <w:r w:rsidR="00202896" w:rsidRPr="26760081">
        <w:rPr>
          <w:rFonts w:cs="Calibri"/>
          <w:sz w:val="20"/>
          <w:szCs w:val="20"/>
        </w:rPr>
        <w:t xml:space="preserve">Intentionally </w:t>
      </w:r>
      <w:r w:rsidR="007C1EDE" w:rsidRPr="26760081">
        <w:rPr>
          <w:rFonts w:cs="Calibri"/>
          <w:sz w:val="20"/>
          <w:szCs w:val="20"/>
        </w:rPr>
        <w:t>built around how forensic and valuation professionals work</w:t>
      </w:r>
      <w:r w:rsidR="007F5996" w:rsidRPr="26760081">
        <w:rPr>
          <w:rFonts w:cs="Calibri"/>
          <w:sz w:val="20"/>
          <w:szCs w:val="20"/>
        </w:rPr>
        <w:t xml:space="preserve">, this conference </w:t>
      </w:r>
      <w:r w:rsidR="00DA670F" w:rsidRPr="26760081">
        <w:rPr>
          <w:rFonts w:cs="Calibri"/>
          <w:sz w:val="20"/>
          <w:szCs w:val="20"/>
        </w:rPr>
        <w:t>offers</w:t>
      </w:r>
      <w:r w:rsidR="004A3F75">
        <w:rPr>
          <w:rFonts w:cs="Calibri"/>
          <w:sz w:val="20"/>
          <w:szCs w:val="20"/>
        </w:rPr>
        <w:t xml:space="preserve"> up to 18.5 CPE through</w:t>
      </w:r>
      <w:r w:rsidR="00DA670F" w:rsidRPr="26760081">
        <w:rPr>
          <w:rFonts w:cs="Calibri"/>
          <w:sz w:val="20"/>
          <w:szCs w:val="20"/>
        </w:rPr>
        <w:t>:</w:t>
      </w:r>
    </w:p>
    <w:p w14:paraId="6D8610F2" w14:textId="3241C83B" w:rsidR="00B07BD1" w:rsidRPr="008F0CE6" w:rsidRDefault="00B07BD1" w:rsidP="00B07BD1">
      <w:pPr>
        <w:numPr>
          <w:ilvl w:val="0"/>
          <w:numId w:val="3"/>
        </w:numPr>
        <w:tabs>
          <w:tab w:val="left" w:pos="2436"/>
        </w:tabs>
        <w:spacing w:after="0" w:line="240" w:lineRule="auto"/>
        <w:textAlignment w:val="baseline"/>
        <w:rPr>
          <w:rFonts w:eastAsia="Times New Roman" w:cs="Calibri"/>
          <w:sz w:val="20"/>
          <w:szCs w:val="20"/>
        </w:rPr>
      </w:pPr>
      <w:r w:rsidRPr="008F0CE6">
        <w:rPr>
          <w:rFonts w:eastAsia="Times New Roman" w:cs="Calibri"/>
          <w:sz w:val="20"/>
          <w:szCs w:val="20"/>
        </w:rPr>
        <w:t xml:space="preserve">Deep-dive </w:t>
      </w:r>
      <w:r w:rsidR="00432464">
        <w:rPr>
          <w:rFonts w:eastAsia="Times New Roman" w:cs="Calibri"/>
          <w:sz w:val="20"/>
          <w:szCs w:val="20"/>
        </w:rPr>
        <w:t xml:space="preserve">practical application </w:t>
      </w:r>
      <w:r w:rsidRPr="008F0CE6">
        <w:rPr>
          <w:rFonts w:eastAsia="Times New Roman" w:cs="Calibri"/>
          <w:sz w:val="20"/>
          <w:szCs w:val="20"/>
        </w:rPr>
        <w:t>workshops, included with registration</w:t>
      </w:r>
      <w:r w:rsidR="0021590C">
        <w:rPr>
          <w:rFonts w:eastAsia="Times New Roman" w:cs="Calibri"/>
          <w:sz w:val="20"/>
          <w:szCs w:val="20"/>
        </w:rPr>
        <w:t xml:space="preserve"> </w:t>
      </w:r>
      <w:r w:rsidR="00180891">
        <w:rPr>
          <w:rFonts w:eastAsia="Times New Roman" w:cs="Calibri"/>
          <w:sz w:val="20"/>
          <w:szCs w:val="20"/>
        </w:rPr>
        <w:t>(</w:t>
      </w:r>
      <w:r w:rsidR="0021590C" w:rsidRPr="0055647F">
        <w:rPr>
          <w:rFonts w:eastAsia="Times New Roman" w:cs="Calibri"/>
          <w:i/>
          <w:iCs/>
          <w:sz w:val="20"/>
          <w:szCs w:val="20"/>
        </w:rPr>
        <w:t>available onsite only</w:t>
      </w:r>
      <w:r w:rsidR="00180891">
        <w:rPr>
          <w:rFonts w:eastAsia="Times New Roman" w:cs="Calibri"/>
          <w:sz w:val="20"/>
          <w:szCs w:val="20"/>
        </w:rPr>
        <w:t>)</w:t>
      </w:r>
    </w:p>
    <w:p w14:paraId="4B450F19" w14:textId="16823638" w:rsidR="00B07BD1" w:rsidRPr="008F0CE6" w:rsidRDefault="00B07BD1" w:rsidP="00B07BD1">
      <w:pPr>
        <w:numPr>
          <w:ilvl w:val="0"/>
          <w:numId w:val="3"/>
        </w:numPr>
        <w:tabs>
          <w:tab w:val="left" w:pos="2436"/>
        </w:tabs>
        <w:spacing w:after="0" w:line="240" w:lineRule="auto"/>
        <w:textAlignment w:val="baseline"/>
        <w:rPr>
          <w:rFonts w:eastAsia="Times New Roman" w:cs="Calibri"/>
          <w:sz w:val="20"/>
          <w:szCs w:val="20"/>
        </w:rPr>
      </w:pPr>
      <w:r w:rsidRPr="008F0CE6">
        <w:rPr>
          <w:rFonts w:eastAsia="Times New Roman" w:cs="Calibri"/>
          <w:sz w:val="20"/>
          <w:szCs w:val="20"/>
        </w:rPr>
        <w:t>Practitioner</w:t>
      </w:r>
      <w:r w:rsidRPr="008F0CE6">
        <w:rPr>
          <w:rFonts w:eastAsia="Times New Roman" w:cs="Calibri"/>
          <w:sz w:val="20"/>
          <w:szCs w:val="20"/>
        </w:rPr>
        <w:noBreakHyphen/>
        <w:t>led sessions</w:t>
      </w:r>
      <w:r w:rsidR="005E37EA">
        <w:rPr>
          <w:rFonts w:eastAsia="Times New Roman" w:cs="Calibri"/>
          <w:sz w:val="20"/>
          <w:szCs w:val="20"/>
        </w:rPr>
        <w:t xml:space="preserve">, including </w:t>
      </w:r>
      <w:r w:rsidR="005E37EA" w:rsidRPr="00DA670F">
        <w:rPr>
          <w:rFonts w:eastAsia="Times New Roman" w:cs="Calibri"/>
          <w:sz w:val="20"/>
          <w:szCs w:val="20"/>
        </w:rPr>
        <w:t>30</w:t>
      </w:r>
      <w:r w:rsidR="005E37EA" w:rsidRPr="00DA670F">
        <w:rPr>
          <w:rFonts w:eastAsia="Times New Roman" w:cs="Calibri"/>
          <w:sz w:val="20"/>
          <w:szCs w:val="20"/>
        </w:rPr>
        <w:noBreakHyphen/>
        <w:t>minute micro</w:t>
      </w:r>
      <w:r w:rsidR="005E37EA" w:rsidRPr="00DA670F">
        <w:rPr>
          <w:rFonts w:eastAsia="Times New Roman" w:cs="Calibri"/>
          <w:sz w:val="20"/>
          <w:szCs w:val="20"/>
        </w:rPr>
        <w:noBreakHyphen/>
        <w:t>sessions</w:t>
      </w:r>
      <w:r w:rsidR="005E37EA" w:rsidRPr="008F0CE6">
        <w:rPr>
          <w:rFonts w:eastAsia="Times New Roman" w:cs="Calibri"/>
          <w:sz w:val="20"/>
          <w:szCs w:val="20"/>
        </w:rPr>
        <w:t xml:space="preserve"> with tangible takeaways</w:t>
      </w:r>
    </w:p>
    <w:p w14:paraId="2ADFC7C1" w14:textId="1E7F3E61" w:rsidR="00B07BD1" w:rsidRPr="008F0CE6" w:rsidRDefault="00B07BD1" w:rsidP="00B07BD1">
      <w:pPr>
        <w:numPr>
          <w:ilvl w:val="0"/>
          <w:numId w:val="3"/>
        </w:numPr>
        <w:tabs>
          <w:tab w:val="left" w:pos="2436"/>
        </w:tabs>
        <w:spacing w:after="0" w:line="240" w:lineRule="auto"/>
        <w:textAlignment w:val="baseline"/>
        <w:rPr>
          <w:rFonts w:eastAsia="Times New Roman" w:cs="Calibri"/>
          <w:sz w:val="20"/>
          <w:szCs w:val="20"/>
        </w:rPr>
      </w:pPr>
      <w:r w:rsidRPr="008F0CE6">
        <w:rPr>
          <w:rFonts w:eastAsia="Times New Roman" w:cs="Calibri"/>
          <w:sz w:val="20"/>
          <w:szCs w:val="20"/>
        </w:rPr>
        <w:t>Thought leadership discussions on emerging issues</w:t>
      </w:r>
    </w:p>
    <w:p w14:paraId="5BA0349C" w14:textId="68360F44" w:rsidR="00C23434" w:rsidRDefault="00B07BD1" w:rsidP="00B07BD1">
      <w:pPr>
        <w:numPr>
          <w:ilvl w:val="0"/>
          <w:numId w:val="3"/>
        </w:numPr>
        <w:tabs>
          <w:tab w:val="left" w:pos="2436"/>
        </w:tabs>
        <w:spacing w:after="0" w:line="240" w:lineRule="auto"/>
        <w:textAlignment w:val="baseline"/>
        <w:rPr>
          <w:rFonts w:eastAsia="Times New Roman" w:cs="Calibri"/>
          <w:sz w:val="20"/>
          <w:szCs w:val="20"/>
        </w:rPr>
      </w:pPr>
      <w:r w:rsidRPr="008F0CE6">
        <w:rPr>
          <w:rFonts w:eastAsia="Times New Roman" w:cs="Calibri"/>
          <w:sz w:val="20"/>
          <w:szCs w:val="20"/>
        </w:rPr>
        <w:t>Interactive formats that encourage engagement and discussion</w:t>
      </w:r>
    </w:p>
    <w:p w14:paraId="4C21DC6A" w14:textId="77777777" w:rsidR="00B07BD1" w:rsidRPr="008F0CE6" w:rsidRDefault="00B07BD1" w:rsidP="00B07BD1">
      <w:pPr>
        <w:tabs>
          <w:tab w:val="left" w:pos="2436"/>
        </w:tabs>
        <w:spacing w:after="0" w:line="240" w:lineRule="auto"/>
        <w:ind w:left="720"/>
        <w:textAlignment w:val="baseline"/>
        <w:rPr>
          <w:rFonts w:eastAsia="Times New Roman" w:cs="Calibri"/>
          <w:sz w:val="20"/>
          <w:szCs w:val="20"/>
        </w:rPr>
      </w:pPr>
    </w:p>
    <w:p w14:paraId="25EA84D6" w14:textId="78A7E720" w:rsidR="004C41CD" w:rsidRDefault="004C41CD">
      <w:r>
        <w:rPr>
          <w:b/>
          <w:bCs/>
          <w:sz w:val="20"/>
          <w:szCs w:val="20"/>
        </w:rPr>
        <w:t>Direct value to our team</w:t>
      </w:r>
      <w:r>
        <w:br/>
      </w:r>
      <w:r>
        <w:rPr>
          <w:sz w:val="20"/>
          <w:szCs w:val="20"/>
        </w:rPr>
        <w:t>By attending</w:t>
      </w:r>
      <w:r w:rsidR="399FB985" w:rsidRPr="23B87FAB">
        <w:rPr>
          <w:sz w:val="20"/>
          <w:szCs w:val="20"/>
        </w:rPr>
        <w:t xml:space="preserve"> </w:t>
      </w:r>
      <w:r w:rsidR="399FB985" w:rsidRPr="7360B603">
        <w:rPr>
          <w:sz w:val="20"/>
          <w:szCs w:val="20"/>
        </w:rPr>
        <w:t>in person</w:t>
      </w:r>
      <w:r>
        <w:rPr>
          <w:sz w:val="20"/>
          <w:szCs w:val="20"/>
        </w:rPr>
        <w:t>, I’ll build practical skills that strengthen the quality and efficiency of our client work, bring back proven approaches and tools used by leading firms, stay ahead of emerging risks, technologies, and regulatory considerations affecting our services, and identify new ways to enhance our positioning in high-growth areas.</w:t>
      </w:r>
    </w:p>
    <w:p w14:paraId="1D35099A" w14:textId="69AC2BDA" w:rsidR="005D1F06" w:rsidRDefault="00605168" w:rsidP="005D1F06">
      <w:pPr>
        <w:rPr>
          <w:rFonts w:cs="Calibri"/>
          <w:sz w:val="20"/>
          <w:szCs w:val="20"/>
        </w:rPr>
      </w:pPr>
      <w:r>
        <w:rPr>
          <w:b/>
          <w:bCs/>
          <w:sz w:val="20"/>
          <w:szCs w:val="20"/>
        </w:rPr>
        <w:t>Budget and logistics</w:t>
      </w:r>
      <w:r w:rsidR="00642628">
        <w:rPr>
          <w:sz w:val="20"/>
          <w:szCs w:val="20"/>
        </w:rPr>
        <w:br/>
      </w:r>
      <w:r w:rsidR="005D1F06" w:rsidRPr="008F0CE6" w:rsidDel="00561EC8">
        <w:rPr>
          <w:rFonts w:cs="Calibri"/>
          <w:sz w:val="20"/>
          <w:szCs w:val="20"/>
        </w:rPr>
        <w:t xml:space="preserve">The </w:t>
      </w:r>
      <w:r w:rsidR="00561EC8">
        <w:rPr>
          <w:rFonts w:cs="Calibri"/>
          <w:sz w:val="20"/>
          <w:szCs w:val="20"/>
        </w:rPr>
        <w:t xml:space="preserve">conference registration cost is </w:t>
      </w:r>
      <w:r w:rsidR="00561EC8" w:rsidRPr="00924EFF">
        <w:rPr>
          <w:rFonts w:cs="Calibri"/>
          <w:color w:val="EE0000"/>
          <w:sz w:val="20"/>
          <w:szCs w:val="20"/>
        </w:rPr>
        <w:t xml:space="preserve">[Insert amount applicable </w:t>
      </w:r>
      <w:r w:rsidR="0088520F">
        <w:rPr>
          <w:rFonts w:cs="Calibri"/>
          <w:color w:val="EE0000"/>
          <w:sz w:val="20"/>
          <w:szCs w:val="20"/>
        </w:rPr>
        <w:t xml:space="preserve">using the table </w:t>
      </w:r>
      <w:r w:rsidR="00561EC8" w:rsidRPr="00924EFF">
        <w:rPr>
          <w:rFonts w:cs="Calibri"/>
          <w:color w:val="EE0000"/>
          <w:sz w:val="20"/>
          <w:szCs w:val="20"/>
        </w:rPr>
        <w:t xml:space="preserve">below]. </w:t>
      </w:r>
    </w:p>
    <w:tbl>
      <w:tblPr>
        <w:tblStyle w:val="TableGrid"/>
        <w:tblW w:w="0" w:type="auto"/>
        <w:tblLook w:val="04A0" w:firstRow="1" w:lastRow="0" w:firstColumn="1" w:lastColumn="0" w:noHBand="0" w:noVBand="1"/>
      </w:tblPr>
      <w:tblGrid>
        <w:gridCol w:w="4675"/>
        <w:gridCol w:w="900"/>
      </w:tblGrid>
      <w:tr w:rsidR="00492340" w14:paraId="18FE4AAF" w14:textId="77777777" w:rsidTr="00642628">
        <w:tc>
          <w:tcPr>
            <w:tcW w:w="4675" w:type="dxa"/>
            <w:shd w:val="clear" w:color="auto" w:fill="501549" w:themeFill="accent5" w:themeFillShade="80"/>
          </w:tcPr>
          <w:p w14:paraId="38F46FEB" w14:textId="1C0EA860" w:rsidR="00492340" w:rsidRPr="00642628" w:rsidRDefault="00492340" w:rsidP="005D1F06">
            <w:pPr>
              <w:rPr>
                <w:rFonts w:cs="Calibri"/>
                <w:b/>
                <w:bCs/>
                <w:sz w:val="20"/>
                <w:szCs w:val="20"/>
              </w:rPr>
            </w:pPr>
            <w:r w:rsidRPr="00642628">
              <w:rPr>
                <w:rFonts w:cs="Calibri"/>
                <w:b/>
                <w:bCs/>
                <w:sz w:val="20"/>
                <w:szCs w:val="20"/>
              </w:rPr>
              <w:t>Conference Registration</w:t>
            </w:r>
          </w:p>
        </w:tc>
        <w:tc>
          <w:tcPr>
            <w:tcW w:w="900" w:type="dxa"/>
            <w:shd w:val="clear" w:color="auto" w:fill="501549" w:themeFill="accent5" w:themeFillShade="80"/>
          </w:tcPr>
          <w:p w14:paraId="147649EA" w14:textId="01AC1801" w:rsidR="00492340" w:rsidRPr="00642628" w:rsidRDefault="00492340" w:rsidP="005D1F06">
            <w:pPr>
              <w:rPr>
                <w:rFonts w:cs="Calibri"/>
                <w:b/>
                <w:bCs/>
                <w:sz w:val="20"/>
                <w:szCs w:val="20"/>
              </w:rPr>
            </w:pPr>
            <w:r w:rsidRPr="00642628">
              <w:rPr>
                <w:rFonts w:cs="Calibri"/>
                <w:b/>
                <w:bCs/>
                <w:sz w:val="20"/>
                <w:szCs w:val="20"/>
              </w:rPr>
              <w:t>Cost</w:t>
            </w:r>
          </w:p>
        </w:tc>
      </w:tr>
      <w:tr w:rsidR="00492340" w14:paraId="68A010C3" w14:textId="77777777" w:rsidTr="00642628">
        <w:tc>
          <w:tcPr>
            <w:tcW w:w="4675" w:type="dxa"/>
          </w:tcPr>
          <w:p w14:paraId="4AA8C4CE" w14:textId="3E4EB379" w:rsidR="00492340" w:rsidRDefault="00492340" w:rsidP="005D1F06">
            <w:pPr>
              <w:rPr>
                <w:rFonts w:cs="Calibri"/>
                <w:sz w:val="20"/>
                <w:szCs w:val="20"/>
              </w:rPr>
            </w:pPr>
            <w:r>
              <w:rPr>
                <w:rFonts w:cs="Calibri"/>
                <w:sz w:val="20"/>
                <w:szCs w:val="20"/>
              </w:rPr>
              <w:t>AICPA members</w:t>
            </w:r>
          </w:p>
        </w:tc>
        <w:tc>
          <w:tcPr>
            <w:tcW w:w="900" w:type="dxa"/>
          </w:tcPr>
          <w:p w14:paraId="4792DFCA" w14:textId="125D0FD0" w:rsidR="00492340" w:rsidRDefault="00492340" w:rsidP="005D1F06">
            <w:pPr>
              <w:rPr>
                <w:rFonts w:cs="Calibri"/>
                <w:sz w:val="20"/>
                <w:szCs w:val="20"/>
              </w:rPr>
            </w:pPr>
            <w:r>
              <w:rPr>
                <w:rFonts w:cs="Calibri"/>
                <w:sz w:val="20"/>
                <w:szCs w:val="20"/>
              </w:rPr>
              <w:t>$1</w:t>
            </w:r>
            <w:r w:rsidR="00227028">
              <w:rPr>
                <w:rFonts w:cs="Calibri"/>
                <w:sz w:val="20"/>
                <w:szCs w:val="20"/>
              </w:rPr>
              <w:t>,</w:t>
            </w:r>
            <w:r w:rsidR="00B61FE1">
              <w:rPr>
                <w:rFonts w:cs="Calibri"/>
                <w:sz w:val="20"/>
                <w:szCs w:val="20"/>
              </w:rPr>
              <w:t>495</w:t>
            </w:r>
          </w:p>
        </w:tc>
      </w:tr>
      <w:tr w:rsidR="00492340" w14:paraId="2651EF17" w14:textId="77777777" w:rsidTr="00642628">
        <w:tc>
          <w:tcPr>
            <w:tcW w:w="4675" w:type="dxa"/>
          </w:tcPr>
          <w:p w14:paraId="3C484ADA" w14:textId="20E0D3C2" w:rsidR="00492340" w:rsidRDefault="00492340" w:rsidP="005D1F06">
            <w:pPr>
              <w:rPr>
                <w:rFonts w:cs="Calibri"/>
                <w:sz w:val="20"/>
                <w:szCs w:val="20"/>
              </w:rPr>
            </w:pPr>
            <w:r>
              <w:rPr>
                <w:rFonts w:cs="Calibri"/>
                <w:sz w:val="20"/>
                <w:szCs w:val="20"/>
              </w:rPr>
              <w:t xml:space="preserve">FVS Section </w:t>
            </w:r>
            <w:r w:rsidR="00F02423">
              <w:rPr>
                <w:rFonts w:cs="Calibri"/>
                <w:sz w:val="20"/>
                <w:szCs w:val="20"/>
              </w:rPr>
              <w:t xml:space="preserve">/ </w:t>
            </w:r>
            <w:r w:rsidR="00F02423" w:rsidRPr="008F0CE6">
              <w:rPr>
                <w:rFonts w:cs="Calibri"/>
                <w:sz w:val="20"/>
                <w:szCs w:val="20"/>
              </w:rPr>
              <w:t>CFF®, ABV® and CVFI®</w:t>
            </w:r>
            <w:r w:rsidR="00A1217F">
              <w:rPr>
                <w:rFonts w:cs="Calibri"/>
                <w:sz w:val="20"/>
                <w:szCs w:val="20"/>
              </w:rPr>
              <w:t xml:space="preserve"> discount</w:t>
            </w:r>
          </w:p>
        </w:tc>
        <w:tc>
          <w:tcPr>
            <w:tcW w:w="900" w:type="dxa"/>
          </w:tcPr>
          <w:p w14:paraId="3C6C6B02" w14:textId="15795D66" w:rsidR="00492340" w:rsidRDefault="00F02423" w:rsidP="005D1F06">
            <w:pPr>
              <w:rPr>
                <w:rFonts w:cs="Calibri"/>
                <w:sz w:val="20"/>
                <w:szCs w:val="20"/>
              </w:rPr>
            </w:pPr>
            <w:r>
              <w:rPr>
                <w:rFonts w:cs="Calibri"/>
                <w:sz w:val="20"/>
                <w:szCs w:val="20"/>
              </w:rPr>
              <w:t>-</w:t>
            </w:r>
            <w:r w:rsidR="00A1217F">
              <w:rPr>
                <w:rFonts w:cs="Calibri"/>
                <w:sz w:val="20"/>
                <w:szCs w:val="20"/>
              </w:rPr>
              <w:t>$150</w:t>
            </w:r>
          </w:p>
        </w:tc>
      </w:tr>
      <w:tr w:rsidR="00A1217F" w14:paraId="140A12CD" w14:textId="77777777" w:rsidTr="00642628">
        <w:tc>
          <w:tcPr>
            <w:tcW w:w="4675" w:type="dxa"/>
          </w:tcPr>
          <w:p w14:paraId="311C5847" w14:textId="53F50273" w:rsidR="00A1217F" w:rsidRDefault="00A1217F" w:rsidP="005D1F06">
            <w:pPr>
              <w:rPr>
                <w:rFonts w:cs="Calibri"/>
                <w:sz w:val="20"/>
                <w:szCs w:val="20"/>
              </w:rPr>
            </w:pPr>
            <w:r>
              <w:rPr>
                <w:rFonts w:cs="Calibri"/>
                <w:sz w:val="20"/>
                <w:szCs w:val="20"/>
              </w:rPr>
              <w:t>Early-bird discount</w:t>
            </w:r>
            <w:r w:rsidR="00F740E4">
              <w:rPr>
                <w:rFonts w:cs="Calibri"/>
                <w:sz w:val="20"/>
                <w:szCs w:val="20"/>
              </w:rPr>
              <w:t xml:space="preserve"> </w:t>
            </w:r>
            <w:r w:rsidR="00642628">
              <w:rPr>
                <w:rFonts w:cs="Calibri"/>
                <w:sz w:val="20"/>
                <w:szCs w:val="20"/>
              </w:rPr>
              <w:t>(expires September 20, 2026)</w:t>
            </w:r>
          </w:p>
        </w:tc>
        <w:tc>
          <w:tcPr>
            <w:tcW w:w="900" w:type="dxa"/>
          </w:tcPr>
          <w:p w14:paraId="27737988" w14:textId="1FB406DE" w:rsidR="00A1217F" w:rsidRDefault="00A1217F" w:rsidP="005D1F06">
            <w:pPr>
              <w:rPr>
                <w:rFonts w:cs="Calibri"/>
                <w:sz w:val="20"/>
                <w:szCs w:val="20"/>
              </w:rPr>
            </w:pPr>
            <w:r>
              <w:rPr>
                <w:rFonts w:cs="Calibri"/>
                <w:sz w:val="20"/>
                <w:szCs w:val="20"/>
              </w:rPr>
              <w:t>-$150</w:t>
            </w:r>
          </w:p>
        </w:tc>
      </w:tr>
    </w:tbl>
    <w:p w14:paraId="599A3413" w14:textId="72E4E3D9" w:rsidR="008A6AAD" w:rsidRDefault="008A6AAD" w:rsidP="00924EFF">
      <w:pPr>
        <w:spacing w:after="0" w:line="240" w:lineRule="auto"/>
        <w:rPr>
          <w:rFonts w:cs="Calibri"/>
          <w:sz w:val="20"/>
          <w:szCs w:val="20"/>
        </w:rPr>
      </w:pPr>
    </w:p>
    <w:p w14:paraId="30FB2800" w14:textId="033729CA" w:rsidR="00A139D6" w:rsidRDefault="00A139D6" w:rsidP="00924EFF">
      <w:pPr>
        <w:pStyle w:val="ListParagraph"/>
        <w:numPr>
          <w:ilvl w:val="0"/>
          <w:numId w:val="6"/>
        </w:numPr>
        <w:spacing w:after="0" w:line="240" w:lineRule="auto"/>
        <w:rPr>
          <w:rFonts w:cs="Calibri"/>
          <w:sz w:val="20"/>
          <w:szCs w:val="20"/>
        </w:rPr>
      </w:pPr>
      <w:r>
        <w:rPr>
          <w:rFonts w:cs="Calibri"/>
          <w:sz w:val="20"/>
          <w:szCs w:val="20"/>
        </w:rPr>
        <w:t>Member + one discount: $1,</w:t>
      </w:r>
      <w:r w:rsidR="00E726C6">
        <w:rPr>
          <w:rFonts w:cs="Calibri"/>
          <w:sz w:val="20"/>
          <w:szCs w:val="20"/>
        </w:rPr>
        <w:t>345</w:t>
      </w:r>
    </w:p>
    <w:p w14:paraId="0203E815" w14:textId="2AD78E05" w:rsidR="00A139D6" w:rsidRPr="001A2E50" w:rsidRDefault="00A139D6" w:rsidP="00924EFF">
      <w:pPr>
        <w:pStyle w:val="ListParagraph"/>
        <w:numPr>
          <w:ilvl w:val="0"/>
          <w:numId w:val="6"/>
        </w:numPr>
        <w:spacing w:after="0" w:line="240" w:lineRule="auto"/>
        <w:rPr>
          <w:rFonts w:cs="Calibri"/>
          <w:sz w:val="20"/>
          <w:szCs w:val="20"/>
        </w:rPr>
      </w:pPr>
      <w:r>
        <w:rPr>
          <w:rFonts w:cs="Calibri"/>
          <w:sz w:val="20"/>
          <w:szCs w:val="20"/>
        </w:rPr>
        <w:t>Member + both discounts: $1,</w:t>
      </w:r>
      <w:r w:rsidR="008621AB">
        <w:rPr>
          <w:rFonts w:cs="Calibri"/>
          <w:sz w:val="20"/>
          <w:szCs w:val="20"/>
        </w:rPr>
        <w:t>195</w:t>
      </w:r>
    </w:p>
    <w:p w14:paraId="39F140C4" w14:textId="77777777" w:rsidR="00227028" w:rsidRDefault="00227028" w:rsidP="00924EFF">
      <w:pPr>
        <w:spacing w:after="0" w:line="240" w:lineRule="auto"/>
        <w:rPr>
          <w:rFonts w:cs="Calibri"/>
          <w:sz w:val="20"/>
          <w:szCs w:val="20"/>
        </w:rPr>
      </w:pPr>
    </w:p>
    <w:p w14:paraId="4A243CB5" w14:textId="77801E34" w:rsidR="005626E6" w:rsidRDefault="005626E6" w:rsidP="008A6AAD">
      <w:pPr>
        <w:spacing w:after="0"/>
        <w:rPr>
          <w:rFonts w:cs="Calibri"/>
          <w:sz w:val="20"/>
          <w:szCs w:val="20"/>
        </w:rPr>
      </w:pPr>
      <w:r>
        <w:rPr>
          <w:rFonts w:cs="Calibri"/>
          <w:sz w:val="20"/>
          <w:szCs w:val="20"/>
        </w:rPr>
        <w:t xml:space="preserve">They are also offering a block rate at the </w:t>
      </w:r>
      <w:r w:rsidR="0031084E">
        <w:rPr>
          <w:rFonts w:cs="Calibri"/>
          <w:sz w:val="20"/>
          <w:szCs w:val="20"/>
        </w:rPr>
        <w:t xml:space="preserve">conference </w:t>
      </w:r>
      <w:r>
        <w:rPr>
          <w:rFonts w:cs="Calibri"/>
          <w:sz w:val="20"/>
          <w:szCs w:val="20"/>
        </w:rPr>
        <w:t xml:space="preserve">hotel, </w:t>
      </w:r>
      <w:r w:rsidR="00DF3764">
        <w:rPr>
          <w:rFonts w:cs="Calibri"/>
          <w:sz w:val="20"/>
          <w:szCs w:val="20"/>
        </w:rPr>
        <w:t>starting at $299 a night.</w:t>
      </w:r>
      <w:r w:rsidR="0031084E">
        <w:rPr>
          <w:rFonts w:cs="Calibri"/>
          <w:sz w:val="20"/>
          <w:szCs w:val="20"/>
        </w:rPr>
        <w:t xml:space="preserve"> [Insert any other budgetary information needed to travel to National Harbor, MD.]</w:t>
      </w:r>
    </w:p>
    <w:p w14:paraId="684FE345" w14:textId="77777777" w:rsidR="005626E6" w:rsidRDefault="005626E6" w:rsidP="008A6AAD">
      <w:pPr>
        <w:spacing w:after="0"/>
        <w:rPr>
          <w:rFonts w:cs="Calibri"/>
          <w:sz w:val="20"/>
          <w:szCs w:val="20"/>
        </w:rPr>
      </w:pPr>
    </w:p>
    <w:p w14:paraId="5703B1F1" w14:textId="48C481FF" w:rsidR="00C62D58" w:rsidRPr="008F0CE6" w:rsidRDefault="00C62D58" w:rsidP="00C62D58">
      <w:pPr>
        <w:rPr>
          <w:rFonts w:cs="Calibri"/>
          <w:sz w:val="20"/>
          <w:szCs w:val="20"/>
        </w:rPr>
      </w:pPr>
      <w:r w:rsidRPr="008F0CE6">
        <w:rPr>
          <w:rFonts w:cs="Calibri"/>
          <w:b/>
          <w:bCs/>
          <w:sz w:val="20"/>
          <w:szCs w:val="20"/>
        </w:rPr>
        <w:t>Return on investment</w:t>
      </w:r>
      <w:r w:rsidRPr="008F0CE6">
        <w:rPr>
          <w:rFonts w:cs="Calibri"/>
          <w:sz w:val="20"/>
          <w:szCs w:val="20"/>
        </w:rPr>
        <w:br/>
        <w:t>I will ensure the team benefits directly by sharing a concise summary of key takeaways, along with actionable recommendations we can implement. The goal is not just professional development</w:t>
      </w:r>
      <w:r w:rsidR="00BE3E66">
        <w:rPr>
          <w:rFonts w:cs="Calibri"/>
          <w:sz w:val="20"/>
          <w:szCs w:val="20"/>
        </w:rPr>
        <w:t xml:space="preserve">, </w:t>
      </w:r>
      <w:r w:rsidRPr="008F0CE6">
        <w:rPr>
          <w:rFonts w:cs="Calibri"/>
          <w:sz w:val="20"/>
          <w:szCs w:val="20"/>
        </w:rPr>
        <w:t>but immediate, tangible application to improve how we deliver work and add value to clients.</w:t>
      </w:r>
    </w:p>
    <w:p w14:paraId="2B00D6BE" w14:textId="02033844" w:rsidR="00E8145A" w:rsidRPr="008F0CE6" w:rsidRDefault="00C62D58" w:rsidP="00E8145A">
      <w:pPr>
        <w:rPr>
          <w:rFonts w:cs="Calibri"/>
          <w:bCs/>
          <w:sz w:val="20"/>
          <w:szCs w:val="20"/>
        </w:rPr>
      </w:pPr>
      <w:r w:rsidRPr="008F0CE6">
        <w:rPr>
          <w:rFonts w:cs="Calibri"/>
          <w:sz w:val="20"/>
          <w:szCs w:val="20"/>
        </w:rPr>
        <w:t xml:space="preserve">I believe this is a high-impact investment that will quickly translate into stronger contributions from me and added value for the team. I appreciate your consideration </w:t>
      </w:r>
      <w:r w:rsidR="007A4460">
        <w:rPr>
          <w:rFonts w:cs="Calibri"/>
          <w:sz w:val="20"/>
          <w:szCs w:val="20"/>
        </w:rPr>
        <w:t>and support</w:t>
      </w:r>
      <w:r w:rsidR="000F570F">
        <w:rPr>
          <w:rFonts w:cs="Calibri"/>
          <w:sz w:val="20"/>
          <w:szCs w:val="20"/>
        </w:rPr>
        <w:t>,</w:t>
      </w:r>
      <w:r w:rsidR="007A4460">
        <w:rPr>
          <w:rFonts w:cs="Calibri"/>
          <w:sz w:val="20"/>
          <w:szCs w:val="20"/>
        </w:rPr>
        <w:t xml:space="preserve"> </w:t>
      </w:r>
      <w:r w:rsidRPr="008F0CE6">
        <w:rPr>
          <w:rFonts w:cs="Calibri"/>
          <w:sz w:val="20"/>
          <w:szCs w:val="20"/>
        </w:rPr>
        <w:t xml:space="preserve">and </w:t>
      </w:r>
      <w:r w:rsidR="00E8145A" w:rsidRPr="008F0CE6">
        <w:rPr>
          <w:rFonts w:cs="Calibri"/>
          <w:bCs/>
          <w:sz w:val="20"/>
          <w:szCs w:val="20"/>
        </w:rPr>
        <w:t>I look forward to discussing how my participation can align with our organization’s goals.</w:t>
      </w:r>
    </w:p>
    <w:p w14:paraId="42ABD2B8" w14:textId="0D3EC5AC" w:rsidR="00AE4DD8" w:rsidRPr="008F0CE6" w:rsidRDefault="00C62D58" w:rsidP="00C62D58">
      <w:pPr>
        <w:rPr>
          <w:rFonts w:cs="Calibri"/>
          <w:sz w:val="20"/>
          <w:szCs w:val="20"/>
        </w:rPr>
      </w:pPr>
      <w:r w:rsidRPr="008F0CE6">
        <w:rPr>
          <w:rFonts w:cs="Calibri"/>
          <w:sz w:val="20"/>
          <w:szCs w:val="20"/>
        </w:rPr>
        <w:t>Best regards,</w:t>
      </w:r>
    </w:p>
    <w:sectPr w:rsidR="00AE4DD8" w:rsidRPr="008F0C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ne N. Cutti-Fox" w:date="2026-05-28T11:51:00Z" w:initials="CC">
    <w:p w14:paraId="54E7F31D" w14:textId="77777777" w:rsidR="00DA5F61" w:rsidRDefault="00DA5F61" w:rsidP="00DA5F61">
      <w:pPr>
        <w:pStyle w:val="CommentText"/>
      </w:pPr>
      <w:r>
        <w:rPr>
          <w:rStyle w:val="CommentReference"/>
        </w:rPr>
        <w:annotationRef/>
      </w:r>
      <w:r>
        <w:t>I might suggest this hyperlink be replaced with the microsite link when it’s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7F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5B266" w16cex:dateUtc="2026-05-2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7F31D" w16cid:durableId="0B05B2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502"/>
    <w:multiLevelType w:val="multilevel"/>
    <w:tmpl w:val="05667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29B1"/>
    <w:multiLevelType w:val="hybridMultilevel"/>
    <w:tmpl w:val="26DC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5774F"/>
    <w:multiLevelType w:val="hybridMultilevel"/>
    <w:tmpl w:val="EC94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71E0A"/>
    <w:multiLevelType w:val="multilevel"/>
    <w:tmpl w:val="47DC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B4723"/>
    <w:multiLevelType w:val="hybridMultilevel"/>
    <w:tmpl w:val="AC76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B0127"/>
    <w:multiLevelType w:val="hybridMultilevel"/>
    <w:tmpl w:val="A900FDA0"/>
    <w:lvl w:ilvl="0" w:tplc="7F4E3644">
      <w:start w:val="1"/>
      <w:numFmt w:val="bullet"/>
      <w:lvlText w:val=""/>
      <w:lvlJc w:val="left"/>
      <w:pPr>
        <w:ind w:left="720" w:hanging="360"/>
      </w:pPr>
      <w:rPr>
        <w:rFonts w:ascii="Symbol" w:eastAsia="Symbol" w:hAnsi="Symbol" w:cs="Symbol"/>
      </w:rPr>
    </w:lvl>
    <w:lvl w:ilvl="1" w:tplc="5182618C">
      <w:start w:val="1"/>
      <w:numFmt w:val="bullet"/>
      <w:lvlText w:val="o"/>
      <w:lvlJc w:val="left"/>
      <w:pPr>
        <w:ind w:left="1440" w:hanging="360"/>
      </w:pPr>
      <w:rPr>
        <w:rFonts w:ascii="Courier New" w:eastAsia="Courier New" w:hAnsi="Courier New" w:cs="Courier New"/>
      </w:rPr>
    </w:lvl>
    <w:lvl w:ilvl="2" w:tplc="A01AB03C">
      <w:start w:val="1"/>
      <w:numFmt w:val="bullet"/>
      <w:lvlText w:val=""/>
      <w:lvlJc w:val="left"/>
      <w:pPr>
        <w:ind w:left="2160" w:hanging="360"/>
      </w:pPr>
      <w:rPr>
        <w:rFonts w:ascii="Wingdings" w:eastAsia="Wingdings" w:hAnsi="Wingdings" w:cs="Wingdings"/>
      </w:rPr>
    </w:lvl>
    <w:lvl w:ilvl="3" w:tplc="A462ED44">
      <w:start w:val="1"/>
      <w:numFmt w:val="bullet"/>
      <w:lvlText w:val=""/>
      <w:lvlJc w:val="left"/>
      <w:pPr>
        <w:ind w:left="2880" w:hanging="360"/>
      </w:pPr>
      <w:rPr>
        <w:rFonts w:ascii="Symbol" w:eastAsia="Symbol" w:hAnsi="Symbol" w:cs="Symbol"/>
      </w:rPr>
    </w:lvl>
    <w:lvl w:ilvl="4" w:tplc="D97E6D2E">
      <w:start w:val="1"/>
      <w:numFmt w:val="bullet"/>
      <w:lvlText w:val="o"/>
      <w:lvlJc w:val="left"/>
      <w:pPr>
        <w:ind w:left="3600" w:hanging="360"/>
      </w:pPr>
      <w:rPr>
        <w:rFonts w:ascii="Courier New" w:eastAsia="Courier New" w:hAnsi="Courier New" w:cs="Courier New"/>
      </w:rPr>
    </w:lvl>
    <w:lvl w:ilvl="5" w:tplc="FAD68C7A">
      <w:start w:val="1"/>
      <w:numFmt w:val="bullet"/>
      <w:lvlText w:val=""/>
      <w:lvlJc w:val="left"/>
      <w:pPr>
        <w:ind w:left="4320" w:hanging="360"/>
      </w:pPr>
      <w:rPr>
        <w:rFonts w:ascii="Wingdings" w:eastAsia="Wingdings" w:hAnsi="Wingdings" w:cs="Wingdings"/>
      </w:rPr>
    </w:lvl>
    <w:lvl w:ilvl="6" w:tplc="A7F4BBC4">
      <w:start w:val="1"/>
      <w:numFmt w:val="bullet"/>
      <w:lvlText w:val=""/>
      <w:lvlJc w:val="left"/>
      <w:pPr>
        <w:ind w:left="5040" w:hanging="360"/>
      </w:pPr>
      <w:rPr>
        <w:rFonts w:ascii="Symbol" w:eastAsia="Symbol" w:hAnsi="Symbol" w:cs="Symbol"/>
      </w:rPr>
    </w:lvl>
    <w:lvl w:ilvl="7" w:tplc="046E29E6">
      <w:start w:val="1"/>
      <w:numFmt w:val="bullet"/>
      <w:lvlText w:val="o"/>
      <w:lvlJc w:val="left"/>
      <w:pPr>
        <w:ind w:left="5760" w:hanging="360"/>
      </w:pPr>
      <w:rPr>
        <w:rFonts w:ascii="Courier New" w:eastAsia="Courier New" w:hAnsi="Courier New" w:cs="Courier New"/>
      </w:rPr>
    </w:lvl>
    <w:lvl w:ilvl="8" w:tplc="B56ED254">
      <w:start w:val="1"/>
      <w:numFmt w:val="bullet"/>
      <w:lvlText w:val=""/>
      <w:lvlJc w:val="left"/>
      <w:pPr>
        <w:ind w:left="6480" w:hanging="360"/>
      </w:pPr>
      <w:rPr>
        <w:rFonts w:ascii="Wingdings" w:eastAsia="Wingdings" w:hAnsi="Wingdings" w:cs="Wingdings"/>
      </w:rPr>
    </w:lvl>
  </w:abstractNum>
  <w:num w:numId="1" w16cid:durableId="1717775176">
    <w:abstractNumId w:val="5"/>
  </w:num>
  <w:num w:numId="2" w16cid:durableId="1744375006">
    <w:abstractNumId w:val="3"/>
  </w:num>
  <w:num w:numId="3" w16cid:durableId="2079017717">
    <w:abstractNumId w:val="4"/>
  </w:num>
  <w:num w:numId="4" w16cid:durableId="4213444">
    <w:abstractNumId w:val="0"/>
  </w:num>
  <w:num w:numId="5" w16cid:durableId="522135961">
    <w:abstractNumId w:val="2"/>
  </w:num>
  <w:num w:numId="6" w16cid:durableId="8010006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N. Cutti-Fox">
    <w15:presenceInfo w15:providerId="AD" w15:userId="S::cfox@aicpa.org::5c3b53e7-800f-4da8-81ca-d8d8dce6b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58"/>
    <w:rsid w:val="000249DC"/>
    <w:rsid w:val="000B4E17"/>
    <w:rsid w:val="000C4E65"/>
    <w:rsid w:val="000F570F"/>
    <w:rsid w:val="0016143A"/>
    <w:rsid w:val="00180891"/>
    <w:rsid w:val="00185EF4"/>
    <w:rsid w:val="001A2E50"/>
    <w:rsid w:val="001A4A5D"/>
    <w:rsid w:val="001D7493"/>
    <w:rsid w:val="001E193C"/>
    <w:rsid w:val="00201A6B"/>
    <w:rsid w:val="00202896"/>
    <w:rsid w:val="0021590C"/>
    <w:rsid w:val="00227028"/>
    <w:rsid w:val="00253FC3"/>
    <w:rsid w:val="002C2297"/>
    <w:rsid w:val="002F4125"/>
    <w:rsid w:val="002F5F3D"/>
    <w:rsid w:val="0031084E"/>
    <w:rsid w:val="003A1CEA"/>
    <w:rsid w:val="003D7854"/>
    <w:rsid w:val="003E6380"/>
    <w:rsid w:val="003F41BF"/>
    <w:rsid w:val="00413D73"/>
    <w:rsid w:val="00432464"/>
    <w:rsid w:val="0045478C"/>
    <w:rsid w:val="00470221"/>
    <w:rsid w:val="004822C8"/>
    <w:rsid w:val="00492340"/>
    <w:rsid w:val="004A03B1"/>
    <w:rsid w:val="004A3F75"/>
    <w:rsid w:val="004B09A0"/>
    <w:rsid w:val="004C1D38"/>
    <w:rsid w:val="004C41CD"/>
    <w:rsid w:val="004F3E60"/>
    <w:rsid w:val="00513EA9"/>
    <w:rsid w:val="0051540E"/>
    <w:rsid w:val="0055647F"/>
    <w:rsid w:val="00556CA9"/>
    <w:rsid w:val="00561EC8"/>
    <w:rsid w:val="005626E6"/>
    <w:rsid w:val="005D1F06"/>
    <w:rsid w:val="005E37EA"/>
    <w:rsid w:val="005E770E"/>
    <w:rsid w:val="005F7063"/>
    <w:rsid w:val="00605168"/>
    <w:rsid w:val="00612E3B"/>
    <w:rsid w:val="00642628"/>
    <w:rsid w:val="00673DA3"/>
    <w:rsid w:val="00684284"/>
    <w:rsid w:val="00684380"/>
    <w:rsid w:val="0069646B"/>
    <w:rsid w:val="006B18BC"/>
    <w:rsid w:val="006F3ADC"/>
    <w:rsid w:val="0070092E"/>
    <w:rsid w:val="00735492"/>
    <w:rsid w:val="0079226A"/>
    <w:rsid w:val="007937DA"/>
    <w:rsid w:val="007A4460"/>
    <w:rsid w:val="007B0E44"/>
    <w:rsid w:val="007B465D"/>
    <w:rsid w:val="007C1EDE"/>
    <w:rsid w:val="007F5996"/>
    <w:rsid w:val="008033EC"/>
    <w:rsid w:val="008268DC"/>
    <w:rsid w:val="008621AB"/>
    <w:rsid w:val="0087678E"/>
    <w:rsid w:val="0088520F"/>
    <w:rsid w:val="008935E9"/>
    <w:rsid w:val="008A6AAD"/>
    <w:rsid w:val="008F0CE6"/>
    <w:rsid w:val="008F38C3"/>
    <w:rsid w:val="00924EFF"/>
    <w:rsid w:val="009351C8"/>
    <w:rsid w:val="009714D2"/>
    <w:rsid w:val="0098424B"/>
    <w:rsid w:val="009F372E"/>
    <w:rsid w:val="00A1217F"/>
    <w:rsid w:val="00A12A20"/>
    <w:rsid w:val="00A139D6"/>
    <w:rsid w:val="00A40A99"/>
    <w:rsid w:val="00A45680"/>
    <w:rsid w:val="00A74DEC"/>
    <w:rsid w:val="00A8184A"/>
    <w:rsid w:val="00AE4DD8"/>
    <w:rsid w:val="00AF6E13"/>
    <w:rsid w:val="00B07BD1"/>
    <w:rsid w:val="00B277A8"/>
    <w:rsid w:val="00B3278A"/>
    <w:rsid w:val="00B428D8"/>
    <w:rsid w:val="00B4574F"/>
    <w:rsid w:val="00B505B6"/>
    <w:rsid w:val="00B61FE1"/>
    <w:rsid w:val="00B640FC"/>
    <w:rsid w:val="00B75629"/>
    <w:rsid w:val="00BB52F6"/>
    <w:rsid w:val="00BE3E66"/>
    <w:rsid w:val="00C23434"/>
    <w:rsid w:val="00C62D58"/>
    <w:rsid w:val="00CE64C8"/>
    <w:rsid w:val="00D32818"/>
    <w:rsid w:val="00D52F44"/>
    <w:rsid w:val="00D9686A"/>
    <w:rsid w:val="00DA5F61"/>
    <w:rsid w:val="00DA670F"/>
    <w:rsid w:val="00DD0B73"/>
    <w:rsid w:val="00DF3764"/>
    <w:rsid w:val="00E00569"/>
    <w:rsid w:val="00E10B78"/>
    <w:rsid w:val="00E633A2"/>
    <w:rsid w:val="00E6602B"/>
    <w:rsid w:val="00E66205"/>
    <w:rsid w:val="00E71A4D"/>
    <w:rsid w:val="00E726C6"/>
    <w:rsid w:val="00E8145A"/>
    <w:rsid w:val="00E86154"/>
    <w:rsid w:val="00E9307B"/>
    <w:rsid w:val="00ED098D"/>
    <w:rsid w:val="00ED5D64"/>
    <w:rsid w:val="00F02423"/>
    <w:rsid w:val="00F23376"/>
    <w:rsid w:val="00F401B0"/>
    <w:rsid w:val="00F41EE2"/>
    <w:rsid w:val="00F53DA3"/>
    <w:rsid w:val="00F55A5C"/>
    <w:rsid w:val="00F62015"/>
    <w:rsid w:val="00F635D2"/>
    <w:rsid w:val="00F740E4"/>
    <w:rsid w:val="00F755C2"/>
    <w:rsid w:val="00FB7573"/>
    <w:rsid w:val="1BEEDCFC"/>
    <w:rsid w:val="23B87FAB"/>
    <w:rsid w:val="26760081"/>
    <w:rsid w:val="2A99477A"/>
    <w:rsid w:val="399FB985"/>
    <w:rsid w:val="7360B603"/>
    <w:rsid w:val="7F1C9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7675"/>
  <w15:chartTrackingRefBased/>
  <w15:docId w15:val="{4DF1336B-E002-455F-BBF5-FC2EFA00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D58"/>
    <w:rPr>
      <w:rFonts w:eastAsiaTheme="majorEastAsia" w:cstheme="majorBidi"/>
      <w:color w:val="272727" w:themeColor="text1" w:themeTint="D8"/>
    </w:rPr>
  </w:style>
  <w:style w:type="paragraph" w:styleId="Title">
    <w:name w:val="Title"/>
    <w:basedOn w:val="Normal"/>
    <w:next w:val="Normal"/>
    <w:link w:val="TitleChar"/>
    <w:uiPriority w:val="10"/>
    <w:qFormat/>
    <w:rsid w:val="00C62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D58"/>
    <w:pPr>
      <w:spacing w:before="160"/>
      <w:jc w:val="center"/>
    </w:pPr>
    <w:rPr>
      <w:i/>
      <w:iCs/>
      <w:color w:val="404040" w:themeColor="text1" w:themeTint="BF"/>
    </w:rPr>
  </w:style>
  <w:style w:type="character" w:customStyle="1" w:styleId="QuoteChar">
    <w:name w:val="Quote Char"/>
    <w:basedOn w:val="DefaultParagraphFont"/>
    <w:link w:val="Quote"/>
    <w:uiPriority w:val="29"/>
    <w:rsid w:val="00C62D58"/>
    <w:rPr>
      <w:i/>
      <w:iCs/>
      <w:color w:val="404040" w:themeColor="text1" w:themeTint="BF"/>
    </w:rPr>
  </w:style>
  <w:style w:type="paragraph" w:styleId="ListParagraph">
    <w:name w:val="List Paragraph"/>
    <w:basedOn w:val="Normal"/>
    <w:uiPriority w:val="34"/>
    <w:qFormat/>
    <w:rsid w:val="00C62D58"/>
    <w:pPr>
      <w:ind w:left="720"/>
      <w:contextualSpacing/>
    </w:pPr>
  </w:style>
  <w:style w:type="character" w:styleId="IntenseEmphasis">
    <w:name w:val="Intense Emphasis"/>
    <w:basedOn w:val="DefaultParagraphFont"/>
    <w:uiPriority w:val="21"/>
    <w:qFormat/>
    <w:rsid w:val="00C62D58"/>
    <w:rPr>
      <w:i/>
      <w:iCs/>
      <w:color w:val="0F4761" w:themeColor="accent1" w:themeShade="BF"/>
    </w:rPr>
  </w:style>
  <w:style w:type="paragraph" w:styleId="IntenseQuote">
    <w:name w:val="Intense Quote"/>
    <w:basedOn w:val="Normal"/>
    <w:next w:val="Normal"/>
    <w:link w:val="IntenseQuoteChar"/>
    <w:uiPriority w:val="30"/>
    <w:qFormat/>
    <w:rsid w:val="00C62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D58"/>
    <w:rPr>
      <w:i/>
      <w:iCs/>
      <w:color w:val="0F4761" w:themeColor="accent1" w:themeShade="BF"/>
    </w:rPr>
  </w:style>
  <w:style w:type="character" w:styleId="IntenseReference">
    <w:name w:val="Intense Reference"/>
    <w:basedOn w:val="DefaultParagraphFont"/>
    <w:uiPriority w:val="32"/>
    <w:qFormat/>
    <w:rsid w:val="00C62D58"/>
    <w:rPr>
      <w:b/>
      <w:bCs/>
      <w:smallCaps/>
      <w:color w:val="0F4761" w:themeColor="accent1" w:themeShade="BF"/>
      <w:spacing w:val="5"/>
    </w:rPr>
  </w:style>
  <w:style w:type="table" w:styleId="TableGrid">
    <w:name w:val="Table Grid"/>
    <w:basedOn w:val="TableNormal"/>
    <w:uiPriority w:val="39"/>
    <w:rsid w:val="00492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40E"/>
    <w:pPr>
      <w:spacing w:after="0" w:line="240" w:lineRule="auto"/>
    </w:pPr>
  </w:style>
  <w:style w:type="character" w:styleId="CommentReference">
    <w:name w:val="annotation reference"/>
    <w:basedOn w:val="DefaultParagraphFont"/>
    <w:uiPriority w:val="99"/>
    <w:semiHidden/>
    <w:unhideWhenUsed/>
    <w:rsid w:val="006B18BC"/>
    <w:rPr>
      <w:sz w:val="16"/>
      <w:szCs w:val="16"/>
    </w:rPr>
  </w:style>
  <w:style w:type="paragraph" w:styleId="CommentText">
    <w:name w:val="annotation text"/>
    <w:basedOn w:val="Normal"/>
    <w:link w:val="CommentTextChar"/>
    <w:uiPriority w:val="99"/>
    <w:unhideWhenUsed/>
    <w:rsid w:val="006B18BC"/>
    <w:pPr>
      <w:spacing w:line="240" w:lineRule="auto"/>
    </w:pPr>
    <w:rPr>
      <w:sz w:val="20"/>
      <w:szCs w:val="20"/>
    </w:rPr>
  </w:style>
  <w:style w:type="character" w:customStyle="1" w:styleId="CommentTextChar">
    <w:name w:val="Comment Text Char"/>
    <w:basedOn w:val="DefaultParagraphFont"/>
    <w:link w:val="CommentText"/>
    <w:uiPriority w:val="99"/>
    <w:rsid w:val="006B18BC"/>
    <w:rPr>
      <w:sz w:val="20"/>
      <w:szCs w:val="20"/>
    </w:rPr>
  </w:style>
  <w:style w:type="paragraph" w:styleId="CommentSubject">
    <w:name w:val="annotation subject"/>
    <w:basedOn w:val="CommentText"/>
    <w:next w:val="CommentText"/>
    <w:link w:val="CommentSubjectChar"/>
    <w:uiPriority w:val="99"/>
    <w:semiHidden/>
    <w:unhideWhenUsed/>
    <w:rsid w:val="006B18BC"/>
    <w:rPr>
      <w:b/>
      <w:bCs/>
    </w:rPr>
  </w:style>
  <w:style w:type="character" w:customStyle="1" w:styleId="CommentSubjectChar">
    <w:name w:val="Comment Subject Char"/>
    <w:basedOn w:val="CommentTextChar"/>
    <w:link w:val="CommentSubject"/>
    <w:uiPriority w:val="99"/>
    <w:semiHidden/>
    <w:rsid w:val="006B18BC"/>
    <w:rPr>
      <w:b/>
      <w:bCs/>
      <w:sz w:val="20"/>
      <w:szCs w:val="20"/>
    </w:rPr>
  </w:style>
  <w:style w:type="character" w:styleId="Hyperlink">
    <w:name w:val="Hyperlink"/>
    <w:basedOn w:val="DefaultParagraphFont"/>
    <w:uiPriority w:val="99"/>
    <w:unhideWhenUsed/>
    <w:rsid w:val="000249DC"/>
    <w:rPr>
      <w:color w:val="467886" w:themeColor="hyperlink"/>
      <w:u w:val="single"/>
    </w:rPr>
  </w:style>
  <w:style w:type="character" w:styleId="UnresolvedMention">
    <w:name w:val="Unresolved Mention"/>
    <w:basedOn w:val="DefaultParagraphFont"/>
    <w:uiPriority w:val="99"/>
    <w:semiHidden/>
    <w:unhideWhenUsed/>
    <w:rsid w:val="000249DC"/>
    <w:rPr>
      <w:color w:val="605E5C"/>
      <w:shd w:val="clear" w:color="auto" w:fill="E1DFDD"/>
    </w:rPr>
  </w:style>
  <w:style w:type="character" w:styleId="FollowedHyperlink">
    <w:name w:val="FollowedHyperlink"/>
    <w:basedOn w:val="DefaultParagraphFont"/>
    <w:uiPriority w:val="99"/>
    <w:semiHidden/>
    <w:unhideWhenUsed/>
    <w:rsid w:val="000249DC"/>
    <w:rPr>
      <w:color w:val="96607D" w:themeColor="followedHyperlink"/>
      <w:u w:val="single"/>
    </w:rPr>
  </w:style>
  <w:style w:type="character" w:styleId="Mention">
    <w:name w:val="Mention"/>
    <w:basedOn w:val="DefaultParagraphFont"/>
    <w:uiPriority w:val="99"/>
    <w:unhideWhenUsed/>
    <w:rsid w:val="006F3A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1517</TotalTime>
  <Pages>1</Pages>
  <Words>404</Words>
  <Characters>2393</Characters>
  <Application>Microsoft Office Word</Application>
  <DocSecurity>0</DocSecurity>
  <Lines>48</Lines>
  <Paragraphs>29</Paragraphs>
  <ScaleCrop>false</ScaleCrop>
  <Company/>
  <LinksUpToDate>false</LinksUpToDate>
  <CharactersWithSpaces>2768</CharactersWithSpaces>
  <SharedDoc>false</SharedDoc>
  <HLinks>
    <vt:vector size="6" baseType="variant">
      <vt:variant>
        <vt:i4>3932193</vt:i4>
      </vt:variant>
      <vt:variant>
        <vt:i4>0</vt:i4>
      </vt:variant>
      <vt:variant>
        <vt:i4>0</vt:i4>
      </vt:variant>
      <vt:variant>
        <vt:i4>5</vt:i4>
      </vt:variant>
      <vt:variant>
        <vt:lpwstr>https://www.aicpa-cima.com/cpe-learning/conference/aicpa-forensic-valuation-services-conference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 Cutti-Fox</dc:creator>
  <cp:keywords/>
  <dc:description/>
  <cp:lastModifiedBy>Christine N. Cutti-Fox</cp:lastModifiedBy>
  <cp:revision>87</cp:revision>
  <dcterms:created xsi:type="dcterms:W3CDTF">2026-05-21T23:20:00Z</dcterms:created>
  <dcterms:modified xsi:type="dcterms:W3CDTF">2026-05-28T15:51:00Z</dcterms:modified>
</cp:coreProperties>
</file>